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佛说稻杆经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1、2课修行摄义归纳（外因缘法）</w:t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“若见因缘。彼即见法。若见于法。即能见佛。”-- “缘起性空”的重要性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</w:rPr>
        <w:t>“此生故彼生。”“此有故彼有。”</w:t>
      </w:r>
      <w:r>
        <w:rPr>
          <w:rFonts w:hint="eastAsia"/>
          <w:sz w:val="24"/>
          <w:szCs w:val="24"/>
          <w:lang w:val="en-US" w:eastAsia="zh-CN"/>
        </w:rPr>
        <w:t xml:space="preserve">-- </w:t>
      </w:r>
      <w:r>
        <w:rPr>
          <w:rFonts w:hint="eastAsia"/>
          <w:sz w:val="24"/>
          <w:szCs w:val="24"/>
        </w:rPr>
        <w:t>“因缘”或者“缘起”的定义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</w:rPr>
        <w:t>“如来出现若不出现。法性常住。”</w:t>
      </w:r>
      <w:r>
        <w:rPr>
          <w:rFonts w:hint="eastAsia"/>
          <w:sz w:val="24"/>
          <w:szCs w:val="24"/>
          <w:lang w:val="en-US" w:eastAsia="zh-CN"/>
        </w:rPr>
        <w:t>-- 因果是自然规律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</w:rPr>
        <w:t>万事万物都在一个因果的网络当中循环</w:t>
      </w:r>
      <w:r>
        <w:rPr>
          <w:rFonts w:hint="eastAsia"/>
          <w:sz w:val="24"/>
          <w:szCs w:val="24"/>
          <w:lang w:val="en-US" w:eastAsia="zh-CN"/>
        </w:rPr>
        <w:t>-- 佛教的基本原则之一：所有的幸福痛苦都是因缘，仔细在生活中抉择善恶行为，根据佛陀的引导，努力创造好的因缘。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外因缘发因相应：万物及其变化都是因缘，因果之间只有物质关系没有任何意识的参与，因此，要理智和智慧的对待生活：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平静的接受幸福、痛苦的果报；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探索苦乐感受的因缘，在因上做智慧的取舍</w:t>
      </w:r>
    </w:p>
    <w:p>
      <w:pPr>
        <w:numPr>
          <w:numId w:val="0"/>
        </w:numPr>
        <w:ind w:left="315"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感官世界（世俗谛）中因果不虚，深入观察，进入空性境界（胜义谛）中，没有因果（中观见解）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“因果同时存”在从逻辑上推理上分析是不成立的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“因果前后存在”仔细分析也有严重问题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结论：感官世界的结论是错觉</w:t>
      </w:r>
    </w:p>
    <w:p>
      <w:pPr>
        <w:numPr>
          <w:ilvl w:val="0"/>
          <w:numId w:val="3"/>
        </w:numPr>
        <w:ind w:left="315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打坐时深入思考怎么样建立因果关系？如果因果关系在我们的生活当中消逝了或者说瓦解了，那我们怎么样去生存？怎么样去学佛？怎么样去成佛？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BC42DB"/>
    <w:multiLevelType w:val="singleLevel"/>
    <w:tmpl w:val="ABBC42DB"/>
    <w:lvl w:ilvl="0" w:tentative="0">
      <w:start w:val="1"/>
      <w:numFmt w:val="decimal"/>
      <w:suff w:val="nothing"/>
      <w:lvlText w:val="（%1）"/>
      <w:lvlJc w:val="left"/>
      <w:pPr>
        <w:ind w:left="315" w:leftChars="0" w:firstLine="0" w:firstLineChars="0"/>
      </w:pPr>
    </w:lvl>
  </w:abstractNum>
  <w:abstractNum w:abstractNumId="1">
    <w:nsid w:val="4517CCE2"/>
    <w:multiLevelType w:val="singleLevel"/>
    <w:tmpl w:val="4517CCE2"/>
    <w:lvl w:ilvl="0" w:tentative="0">
      <w:start w:val="1"/>
      <w:numFmt w:val="decimal"/>
      <w:suff w:val="nothing"/>
      <w:lvlText w:val="（%1）"/>
      <w:lvlJc w:val="left"/>
      <w:pPr>
        <w:ind w:left="315" w:leftChars="0" w:firstLine="0" w:firstLineChars="0"/>
      </w:pPr>
    </w:lvl>
  </w:abstractNum>
  <w:abstractNum w:abstractNumId="2">
    <w:nsid w:val="701D883D"/>
    <w:multiLevelType w:val="singleLevel"/>
    <w:tmpl w:val="701D88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5AA0"/>
    <w:rsid w:val="15627034"/>
    <w:rsid w:val="17306985"/>
    <w:rsid w:val="1CE35A42"/>
    <w:rsid w:val="271E2389"/>
    <w:rsid w:val="5E922B30"/>
    <w:rsid w:val="70485AA0"/>
    <w:rsid w:val="72E06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rFonts w:asciiTheme="minorAscii" w:hAnsiTheme="minorAsci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2018-05-04T18:38:00Z</dcterms:created>
  <dc:creator>赵娟</dc:creator>
  <cp:lastModifiedBy>赵娟</cp:lastModifiedBy>
  <dcterms:modified xsi:type="dcterms:W3CDTF">2018-05-04T21:12:10Z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