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b/>
          <w:bCs/>
          <w:color w:val="B533C5"/>
          <w:sz w:val="28"/>
          <w:szCs w:val="28"/>
        </w:rPr>
      </w:pPr>
      <w:r>
        <w:rPr>
          <w:b/>
          <w:bCs/>
          <w:color w:val="B533C5"/>
          <w:sz w:val="28"/>
          <w:szCs w:val="28"/>
        </w:rPr>
        <w:t xml:space="preserve">申七、思惟所欲求不得苦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1C981C"/>
        </w:rPr>
        <w:t xml:space="preserve">思惟所欲求不得苦分五。如愛別離。 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</w:pPr>
      <w:r>
        <w:rPr>
          <w:color w:val="0000FF"/>
        </w:rPr>
        <w:t>求不得苦分五種苦相，和愛別離相同。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對於所欲求不得時，便因此心生憂戚、語生愁歎、身生擾惱，因為念彼功德、思戀因緣而令意熱惱，由受用等有所缺乏而生憂苦。求不得苦和愛別離苦本質也相同，都是因貪愛引起。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1C981C"/>
        </w:rPr>
      </w:pPr>
      <w:r>
        <w:rPr>
          <w:color w:val="1C981C"/>
        </w:rPr>
        <w:t xml:space="preserve">求不得者，謂務農業秋實不成，及營商賈未獲利等，由於所欲勵力追求而未得故，灰心憂苦。 </w:t>
      </w:r>
    </w:p>
    <w:p>
      <w:pPr>
        <w:pStyle w:val="2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求不得苦：比如務農，從春天開始播種，經過半年的辛苦勞作，到了秋天卻沒有好的收成；又如經商，苦心投資經營，卻得不到利潤等。這都是因為努力追求所欲，卻不能如願以償，所以心灰意冷，憂愁苦惱。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永明延壽大師的《宗鏡錄》中說：“故求不得苦者，有其二種。一者，所希望處，求不能得；二者，多役功力，不得果報。”（求不得苦有兩種：第一種是對所希望之處，追求而不能得到；第二種是費盡功夫，卻得不到結果，前功盡棄。所以內心失落痛苦。） </w:t>
      </w:r>
    </w:p>
    <w:p>
      <w:pPr>
        <w:rPr>
          <w:sz w:val="24"/>
          <w:szCs w:val="24"/>
        </w:rPr>
      </w:pPr>
    </w:p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332C8"/>
    <w:rsid w:val="031332C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ce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2018-06-08T04:23:00Z</dcterms:created>
  <dc:creator>Grace</dc:creator>
  <cp:lastModifiedBy>Grace</cp:lastModifiedBy>
  <dcterms:modified xsi:type="dcterms:W3CDTF">2018-06-08T04:27:19Z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